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31824" w14:textId="77777777" w:rsidR="007E22C1" w:rsidRPr="007E22C1" w:rsidRDefault="007E22C1" w:rsidP="007E22C1">
      <w:pPr>
        <w:pStyle w:val="Tytu"/>
      </w:pPr>
      <w:r w:rsidRPr="007E22C1">
        <w:t>Program Green Switch od Signify – prosta droga w stronę lepszego świata</w:t>
      </w:r>
    </w:p>
    <w:p w14:paraId="5D4204ED" w14:textId="3B386A6A" w:rsidR="007E22C1" w:rsidRPr="007E22C1" w:rsidRDefault="007E22C1" w:rsidP="007E22C1">
      <w:r w:rsidRPr="007E22C1">
        <w:drawing>
          <wp:inline distT="0" distB="0" distL="0" distR="0" wp14:anchorId="05E9724E" wp14:editId="5F769CCA">
            <wp:extent cx="4318000" cy="2159000"/>
            <wp:effectExtent l="0" t="0" r="6350" b="0"/>
            <wp:docPr id="1394106736" name="Obraz 6" descr="Program Green Switch od Signify – prosta droga w stronę lepszego świ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Program Green Switch od Signify – prosta droga w stronę lepszego świat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E3C1C" w14:textId="77777777" w:rsidR="007E22C1" w:rsidRPr="007E22C1" w:rsidRDefault="007E22C1" w:rsidP="007E22C1">
      <w:hyperlink r:id="rId8" w:history="1">
        <w:r w:rsidRPr="007E22C1">
          <w:rPr>
            <w:rStyle w:val="Hipercze"/>
            <w:b/>
            <w:bCs/>
          </w:rPr>
          <w:t>Pobierz plik </w:t>
        </w:r>
      </w:hyperlink>
    </w:p>
    <w:p w14:paraId="7FE4C38D" w14:textId="77777777" w:rsidR="007E22C1" w:rsidRPr="007E22C1" w:rsidRDefault="007E22C1" w:rsidP="007E22C1">
      <w:pPr>
        <w:pStyle w:val="Podtytu"/>
      </w:pPr>
      <w:r w:rsidRPr="007E22C1">
        <w:t>Jako globalny lider w dziedzinie oświetlenia, od lat konsekwentnie wdrażamy innowacyjne rozwiązania mające na celu poprawę jakości środowiska oraz jego ochronę. Jednym z kluczowych elementów naszych działań jest program Green Switch, który promuje przejście na zintegrowane systemy oświetleniowe LED.</w:t>
      </w:r>
    </w:p>
    <w:p w14:paraId="062F0012" w14:textId="77777777" w:rsidR="007E22C1" w:rsidRPr="007E22C1" w:rsidRDefault="007E22C1" w:rsidP="007E22C1">
      <w:pPr>
        <w:pStyle w:val="Nagwek1"/>
      </w:pPr>
      <w:r w:rsidRPr="007E22C1">
        <w:t>Green Switch: Przejście na LED</w:t>
      </w:r>
    </w:p>
    <w:p w14:paraId="54227227" w14:textId="77777777" w:rsidR="007E22C1" w:rsidRPr="007E22C1" w:rsidRDefault="007E22C1" w:rsidP="007E22C1">
      <w:r w:rsidRPr="007E22C1">
        <w:t>Program Green Switch koncentruje się na zamianie konwencjonalnych punktów świetlnych na technologię LED, co przynosi znaczące korzyści energetyczne i ekologiczne. Przejście na oświetlenie LED pozwala na:</w:t>
      </w:r>
    </w:p>
    <w:p w14:paraId="4882242D" w14:textId="77777777" w:rsidR="007E22C1" w:rsidRPr="007E22C1" w:rsidRDefault="007E22C1" w:rsidP="007E22C1">
      <w:pPr>
        <w:numPr>
          <w:ilvl w:val="0"/>
          <w:numId w:val="1"/>
        </w:numPr>
      </w:pPr>
      <w:r w:rsidRPr="007E22C1">
        <w:rPr>
          <w:b/>
          <w:bCs/>
        </w:rPr>
        <w:t>Oszczędność energii</w:t>
      </w:r>
      <w:r w:rsidRPr="007E22C1">
        <w:t xml:space="preserve">: Redukcja zużycia energii elektrycznej o 870 </w:t>
      </w:r>
      <w:proofErr w:type="spellStart"/>
      <w:r w:rsidRPr="007E22C1">
        <w:t>TWh</w:t>
      </w:r>
      <w:proofErr w:type="spellEnd"/>
      <w:r w:rsidRPr="007E22C1">
        <w:t xml:space="preserve"> rocznie.</w:t>
      </w:r>
    </w:p>
    <w:p w14:paraId="43B29C4D" w14:textId="77777777" w:rsidR="007E22C1" w:rsidRPr="007E22C1" w:rsidRDefault="007E22C1" w:rsidP="007E22C1">
      <w:pPr>
        <w:numPr>
          <w:ilvl w:val="0"/>
          <w:numId w:val="1"/>
        </w:numPr>
      </w:pPr>
      <w:r w:rsidRPr="007E22C1">
        <w:rPr>
          <w:b/>
          <w:bCs/>
        </w:rPr>
        <w:t>Zmniejszenie emisji CO₂</w:t>
      </w:r>
      <w:r w:rsidRPr="007E22C1">
        <w:t>: Redukcja emisji o 420 milionów ton CO₂ rocznie.</w:t>
      </w:r>
    </w:p>
    <w:p w14:paraId="36231A87" w14:textId="77777777" w:rsidR="007E22C1" w:rsidRPr="007E22C1" w:rsidRDefault="007E22C1" w:rsidP="007E22C1">
      <w:pPr>
        <w:numPr>
          <w:ilvl w:val="0"/>
          <w:numId w:val="1"/>
        </w:numPr>
      </w:pPr>
      <w:r w:rsidRPr="007E22C1">
        <w:rPr>
          <w:b/>
          <w:bCs/>
        </w:rPr>
        <w:t>Oszczędność kosztów</w:t>
      </w:r>
      <w:r w:rsidRPr="007E22C1">
        <w:t>: Obniżenie kosztów energii elektrycznej o 120 miliardów euro rocznie.</w:t>
      </w:r>
    </w:p>
    <w:p w14:paraId="7BBD7DBD" w14:textId="77777777" w:rsidR="007E22C1" w:rsidRPr="007E22C1" w:rsidRDefault="007E22C1" w:rsidP="007E22C1">
      <w:r w:rsidRPr="007E22C1">
        <w:pict w14:anchorId="1FC0B89F">
          <v:rect id="_x0000_i1060" style="width:0;height:.75pt" o:hralign="center" o:hrstd="t" o:hr="t" fillcolor="#a0a0a0" stroked="f"/>
        </w:pict>
      </w:r>
    </w:p>
    <w:p w14:paraId="2F8DAD8D" w14:textId="77777777" w:rsidR="007E22C1" w:rsidRPr="007E22C1" w:rsidRDefault="007E22C1" w:rsidP="007E22C1">
      <w:r w:rsidRPr="007E22C1">
        <w:rPr>
          <w:b/>
          <w:bCs/>
        </w:rPr>
        <w:t xml:space="preserve">Dowiedz się więcej, o tym jak wspieramy transformację klimatyczną z poniższych </w:t>
      </w:r>
      <w:proofErr w:type="spellStart"/>
      <w:r w:rsidRPr="007E22C1">
        <w:rPr>
          <w:b/>
          <w:bCs/>
        </w:rPr>
        <w:t>inforgrafik</w:t>
      </w:r>
      <w:proofErr w:type="spellEnd"/>
      <w:r w:rsidRPr="007E22C1">
        <w:rPr>
          <w:b/>
          <w:bCs/>
        </w:rPr>
        <w:t>.</w:t>
      </w:r>
    </w:p>
    <w:p w14:paraId="6947D7A8" w14:textId="77777777" w:rsidR="007E22C1" w:rsidRPr="007E22C1" w:rsidRDefault="007E22C1" w:rsidP="007E22C1">
      <w:hyperlink r:id="rId9" w:history="1">
        <w:r w:rsidRPr="007E22C1">
          <w:rPr>
            <w:rStyle w:val="Hipercze"/>
          </w:rPr>
          <w:t>Nasza droga w kierunku zrównoważonego rozwoju</w:t>
        </w:r>
      </w:hyperlink>
    </w:p>
    <w:p w14:paraId="04293548" w14:textId="77777777" w:rsidR="007E22C1" w:rsidRPr="007E22C1" w:rsidRDefault="007E22C1" w:rsidP="007E22C1">
      <w:hyperlink r:id="rId10" w:history="1">
        <w:r w:rsidRPr="007E22C1">
          <w:rPr>
            <w:rStyle w:val="Hipercze"/>
          </w:rPr>
          <w:t>Program Green Switch</w:t>
        </w:r>
      </w:hyperlink>
    </w:p>
    <w:p w14:paraId="3BEDB830" w14:textId="77777777" w:rsidR="007E22C1" w:rsidRPr="007E22C1" w:rsidRDefault="007E22C1" w:rsidP="007E22C1">
      <w:r w:rsidRPr="007E22C1">
        <w:lastRenderedPageBreak/>
        <w:pict w14:anchorId="3F776E26">
          <v:rect id="_x0000_i1061" style="width:0;height:.75pt" o:hralign="center" o:hrstd="t" o:hr="t" fillcolor="#a0a0a0" stroked="f"/>
        </w:pict>
      </w:r>
    </w:p>
    <w:p w14:paraId="29BFE9A6" w14:textId="77777777" w:rsidR="007E22C1" w:rsidRPr="007E22C1" w:rsidRDefault="007E22C1" w:rsidP="007E22C1">
      <w:pPr>
        <w:pStyle w:val="Nagwek1"/>
      </w:pPr>
      <w:r w:rsidRPr="007E22C1">
        <w:t>Kalkulator oszczędności Green Switch</w:t>
      </w:r>
    </w:p>
    <w:p w14:paraId="42734179" w14:textId="77777777" w:rsidR="007E22C1" w:rsidRPr="007E22C1" w:rsidRDefault="007E22C1" w:rsidP="007E22C1">
      <w:r w:rsidRPr="007E22C1">
        <w:t>Odpowiadając na potrzeby naszych Klientów, a także, aby ułatwić naszym Partnerom przejście na oświetlenie LED, przygotowaliśmy specjalny kalkulator oszczędności Green Switch.</w:t>
      </w:r>
    </w:p>
    <w:p w14:paraId="5AA39353" w14:textId="77777777" w:rsidR="007E22C1" w:rsidRPr="007E22C1" w:rsidRDefault="007E22C1" w:rsidP="007E22C1">
      <w:r w:rsidRPr="007E22C1">
        <w:rPr>
          <w:b/>
          <w:bCs/>
        </w:rPr>
        <w:t xml:space="preserve">Jeśli jesteś </w:t>
      </w:r>
      <w:proofErr w:type="gramStart"/>
      <w:r w:rsidRPr="007E22C1">
        <w:rPr>
          <w:b/>
          <w:bCs/>
        </w:rPr>
        <w:t>ciekawy</w:t>
      </w:r>
      <w:proofErr w:type="gramEnd"/>
      <w:r w:rsidRPr="007E22C1">
        <w:rPr>
          <w:b/>
          <w:bCs/>
        </w:rPr>
        <w:t xml:space="preserve"> ile Ty lub Twoi klienci możecie zaoszczędzić, dzięki modernizacji oświetlenia na LED bez względu, czy jest to projekt oświetleniowy biura, osiedla, czy miasta, sprawdź nasz najnowszy kalkulator.</w:t>
      </w:r>
    </w:p>
    <w:p w14:paraId="5057C539" w14:textId="77777777" w:rsidR="007E22C1" w:rsidRPr="007E22C1" w:rsidRDefault="007E22C1" w:rsidP="007E22C1">
      <w:hyperlink r:id="rId11" w:tgtFrame="_blank" w:history="1">
        <w:r w:rsidRPr="007E22C1">
          <w:rPr>
            <w:rStyle w:val="Hipercze"/>
            <w:b/>
            <w:bCs/>
          </w:rPr>
          <w:t>Zacznij obliczenia</w:t>
        </w:r>
      </w:hyperlink>
    </w:p>
    <w:p w14:paraId="5235EF07" w14:textId="112C1BFB" w:rsidR="007E22C1" w:rsidRPr="007E22C1" w:rsidRDefault="007E22C1" w:rsidP="007E22C1">
      <w:r w:rsidRPr="007E22C1">
        <w:drawing>
          <wp:inline distT="0" distB="0" distL="0" distR="0" wp14:anchorId="63C97F18" wp14:editId="77CF1C1E">
            <wp:extent cx="2698750" cy="2698750"/>
            <wp:effectExtent l="0" t="0" r="6350" b="6350"/>
            <wp:docPr id="1508242339" name="Obraz 4" descr="Obraz zawierający tekst, zrzut ekranu, zieleń, plakat&#10;&#10;Zawartość wygenerowana przez sztuczną inteligencję może być niepoprawna.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42339" name="Obraz 4" descr="Obraz zawierający tekst, zrzut ekranu, zieleń, plakat&#10;&#10;Zawartość wygenerowana przez sztuczną inteligencję może być niepoprawna.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FB8C8" w14:textId="77777777" w:rsidR="007E22C1" w:rsidRPr="007E22C1" w:rsidRDefault="007E22C1" w:rsidP="007E22C1">
      <w:r w:rsidRPr="007E22C1">
        <w:pict w14:anchorId="441DAD03">
          <v:rect id="_x0000_i1063" style="width:0;height:.75pt" o:hralign="center" o:hrstd="t" o:hr="t" fillcolor="#a0a0a0" stroked="f"/>
        </w:pict>
      </w:r>
    </w:p>
    <w:p w14:paraId="2E00B74F" w14:textId="77777777" w:rsidR="007E22C1" w:rsidRPr="007E22C1" w:rsidRDefault="007E22C1" w:rsidP="007E22C1">
      <w:pPr>
        <w:pStyle w:val="Nagwek1"/>
      </w:pPr>
      <w:r w:rsidRPr="007E22C1">
        <w:t>Wspieranie transformacji klimatycznej</w:t>
      </w:r>
    </w:p>
    <w:p w14:paraId="6C8525D7" w14:textId="77777777" w:rsidR="007E22C1" w:rsidRPr="007E22C1" w:rsidRDefault="007E22C1" w:rsidP="007E22C1">
      <w:r w:rsidRPr="007E22C1">
        <w:t>Szacujemy, że na całym świecie zamontowano 50 miliardów punktów świetlnych, z których wiele to wciąż nieefektywne energetycznie rozwiązania. Przejście na oświetlenie LED może znacząco wpłynąć na globalne zużycie energii. Program Green Switch wspiera transformację klimatyczną poprzez:</w:t>
      </w:r>
    </w:p>
    <w:p w14:paraId="4B09A8A2" w14:textId="77777777" w:rsidR="007E22C1" w:rsidRPr="007E22C1" w:rsidRDefault="007E22C1" w:rsidP="007E22C1">
      <w:pPr>
        <w:numPr>
          <w:ilvl w:val="0"/>
          <w:numId w:val="2"/>
        </w:numPr>
      </w:pPr>
      <w:r w:rsidRPr="007E22C1">
        <w:rPr>
          <w:b/>
          <w:bCs/>
        </w:rPr>
        <w:t>Maksymalizację efektywności energetycznej</w:t>
      </w:r>
      <w:r w:rsidRPr="007E22C1">
        <w:t>: Zmniejszenie niewykorzystanej energii i uwolnienie zasobów na inwestycje w odnawialną energię.</w:t>
      </w:r>
    </w:p>
    <w:p w14:paraId="4C972EAF" w14:textId="77777777" w:rsidR="007E22C1" w:rsidRPr="007E22C1" w:rsidRDefault="007E22C1" w:rsidP="007E22C1">
      <w:pPr>
        <w:numPr>
          <w:ilvl w:val="0"/>
          <w:numId w:val="2"/>
        </w:numPr>
      </w:pPr>
      <w:r w:rsidRPr="007E22C1">
        <w:rPr>
          <w:b/>
          <w:bCs/>
        </w:rPr>
        <w:t>Oświetlenie na rzecz obiegu zamkniętego</w:t>
      </w:r>
      <w:r w:rsidRPr="007E22C1">
        <w:t>: Wykorzystanie druku 3D, biomateriałów oraz modułowej konstrukcji produktów, co umożliwia modernizację, serwisowanie i ponowne użycie.</w:t>
      </w:r>
    </w:p>
    <w:p w14:paraId="5EE6D5A0" w14:textId="77777777" w:rsidR="007E22C1" w:rsidRPr="007E22C1" w:rsidRDefault="007E22C1" w:rsidP="007E22C1">
      <w:pPr>
        <w:numPr>
          <w:ilvl w:val="0"/>
          <w:numId w:val="2"/>
        </w:numPr>
      </w:pPr>
      <w:r w:rsidRPr="007E22C1">
        <w:rPr>
          <w:b/>
          <w:bCs/>
        </w:rPr>
        <w:lastRenderedPageBreak/>
        <w:t>Rewolucję w infrastrukturze</w:t>
      </w:r>
      <w:r w:rsidRPr="007E22C1">
        <w:t>: Dążenie do zerowego zużycia energii netto, integracja z inteligentnymi miastami oraz wspieranie bezpiecznych przestrzeni publicznych.</w:t>
      </w:r>
    </w:p>
    <w:p w14:paraId="589E4419" w14:textId="77777777" w:rsidR="007E22C1" w:rsidRPr="007E22C1" w:rsidRDefault="007E22C1" w:rsidP="007E22C1">
      <w:pPr>
        <w:numPr>
          <w:ilvl w:val="0"/>
          <w:numId w:val="2"/>
        </w:numPr>
      </w:pPr>
      <w:r w:rsidRPr="007E22C1">
        <w:rPr>
          <w:b/>
          <w:bCs/>
        </w:rPr>
        <w:t>Elektryfikację i cyfryzację</w:t>
      </w:r>
      <w:r w:rsidRPr="007E22C1">
        <w:t>: Uwolnienie energii elektrycznej na rzecz elektryfikacji HVAC i transportu oraz wykorzystanie inteligentnych technologii do monitorowania i minimalizacji zużycia energii.</w:t>
      </w:r>
    </w:p>
    <w:p w14:paraId="4AA75F47" w14:textId="77777777" w:rsidR="007E22C1" w:rsidRPr="007E22C1" w:rsidRDefault="007E22C1" w:rsidP="007E22C1">
      <w:pPr>
        <w:pStyle w:val="Nagwek1"/>
      </w:pPr>
      <w:r w:rsidRPr="007E22C1">
        <w:t>Poprawa jakości życia i bioróżnorodność</w:t>
      </w:r>
    </w:p>
    <w:p w14:paraId="11FF0BB9" w14:textId="77777777" w:rsidR="007E22C1" w:rsidRPr="007E22C1" w:rsidRDefault="007E22C1" w:rsidP="007E22C1">
      <w:r w:rsidRPr="007E22C1">
        <w:t>Lepsze oświetlenie może znacząco poprawić jakość życia, wpływając na zdrowie, komfort oczu, niższe rachunki za energię oraz zapewniając światło dla rozrywki i relaksu. Ponadto, dbamy o bioróżnorodność poprzez:</w:t>
      </w:r>
    </w:p>
    <w:p w14:paraId="00718563" w14:textId="77777777" w:rsidR="007E22C1" w:rsidRPr="007E22C1" w:rsidRDefault="007E22C1" w:rsidP="007E22C1">
      <w:pPr>
        <w:numPr>
          <w:ilvl w:val="0"/>
          <w:numId w:val="3"/>
        </w:numPr>
      </w:pPr>
      <w:r w:rsidRPr="007E22C1">
        <w:rPr>
          <w:b/>
          <w:bCs/>
        </w:rPr>
        <w:t>Redukcję zanieczyszczenia światłem</w:t>
      </w:r>
      <w:r w:rsidRPr="007E22C1">
        <w:t>: Oświetlenie nieingerujące w dobrostan dzikiej przyrody.</w:t>
      </w:r>
    </w:p>
    <w:p w14:paraId="1E16DDE4" w14:textId="77777777" w:rsidR="007E22C1" w:rsidRPr="007E22C1" w:rsidRDefault="007E22C1" w:rsidP="007E22C1">
      <w:pPr>
        <w:numPr>
          <w:ilvl w:val="0"/>
          <w:numId w:val="3"/>
        </w:numPr>
      </w:pPr>
      <w:r w:rsidRPr="007E22C1">
        <w:rPr>
          <w:b/>
          <w:bCs/>
        </w:rPr>
        <w:t>Wspieranie zrównoważonej produkcji żywności</w:t>
      </w:r>
      <w:r w:rsidRPr="007E22C1">
        <w:t>: Oświetlenie wspierające hodowlę zwierząt i produkcję rolną.</w:t>
      </w:r>
    </w:p>
    <w:p w14:paraId="6E4B2CC6" w14:textId="77777777" w:rsidR="007E22C1" w:rsidRPr="007E22C1" w:rsidRDefault="007E22C1" w:rsidP="007E22C1">
      <w:pPr>
        <w:pStyle w:val="Nagwek1"/>
      </w:pPr>
      <w:r w:rsidRPr="007E22C1">
        <w:t>Nasze działania na rzecz zrównoważonego rozwoju</w:t>
      </w:r>
    </w:p>
    <w:p w14:paraId="55018F11" w14:textId="77777777" w:rsidR="007E22C1" w:rsidRPr="007E22C1" w:rsidRDefault="007E22C1" w:rsidP="007E22C1">
      <w:r w:rsidRPr="007E22C1">
        <w:t>Od lat angażujemy się w działania na rzecz zrównoważonego rozwoju. Oto kilka kluczowych inicjatyw:</w:t>
      </w:r>
    </w:p>
    <w:p w14:paraId="37DA6D65" w14:textId="77777777" w:rsidR="007E22C1" w:rsidRPr="007E22C1" w:rsidRDefault="007E22C1" w:rsidP="007E22C1">
      <w:pPr>
        <w:numPr>
          <w:ilvl w:val="0"/>
          <w:numId w:val="4"/>
        </w:numPr>
      </w:pPr>
      <w:r w:rsidRPr="007E22C1">
        <w:rPr>
          <w:b/>
          <w:bCs/>
        </w:rPr>
        <w:t xml:space="preserve">Global </w:t>
      </w:r>
      <w:proofErr w:type="spellStart"/>
      <w:r w:rsidRPr="007E22C1">
        <w:rPr>
          <w:b/>
          <w:bCs/>
        </w:rPr>
        <w:t>Lighting</w:t>
      </w:r>
      <w:proofErr w:type="spellEnd"/>
      <w:r w:rsidRPr="007E22C1">
        <w:rPr>
          <w:b/>
          <w:bCs/>
        </w:rPr>
        <w:t xml:space="preserve"> Challenge</w:t>
      </w:r>
      <w:r w:rsidRPr="007E22C1">
        <w:t>: Zainstalowanie 10 miliardów lamp efektywnych energetycznie.</w:t>
      </w:r>
    </w:p>
    <w:p w14:paraId="51A39CF3" w14:textId="77777777" w:rsidR="007E22C1" w:rsidRPr="007E22C1" w:rsidRDefault="007E22C1" w:rsidP="007E22C1">
      <w:pPr>
        <w:numPr>
          <w:ilvl w:val="0"/>
          <w:numId w:val="4"/>
        </w:numPr>
      </w:pPr>
      <w:r w:rsidRPr="007E22C1">
        <w:rPr>
          <w:b/>
          <w:bCs/>
        </w:rPr>
        <w:t xml:space="preserve">Partnerstwo </w:t>
      </w:r>
      <w:proofErr w:type="spellStart"/>
      <w:proofErr w:type="gramStart"/>
      <w:r w:rsidRPr="007E22C1">
        <w:rPr>
          <w:b/>
          <w:bCs/>
        </w:rPr>
        <w:t>en.lighten</w:t>
      </w:r>
      <w:proofErr w:type="spellEnd"/>
      <w:proofErr w:type="gramEnd"/>
      <w:r w:rsidRPr="007E22C1">
        <w:t xml:space="preserve">: Współpraca z UNEP i Global Environment </w:t>
      </w:r>
      <w:proofErr w:type="spellStart"/>
      <w:r w:rsidRPr="007E22C1">
        <w:t>Facility</w:t>
      </w:r>
      <w:proofErr w:type="spellEnd"/>
      <w:r w:rsidRPr="007E22C1">
        <w:t xml:space="preserve"> na rzecz poprawy efektywności energetycznej oświetlenia.</w:t>
      </w:r>
    </w:p>
    <w:p w14:paraId="0CC8E747" w14:textId="77777777" w:rsidR="007E22C1" w:rsidRPr="007E22C1" w:rsidRDefault="007E22C1" w:rsidP="007E22C1">
      <w:pPr>
        <w:numPr>
          <w:ilvl w:val="0"/>
          <w:numId w:val="4"/>
        </w:numPr>
      </w:pPr>
      <w:r w:rsidRPr="007E22C1">
        <w:rPr>
          <w:b/>
          <w:bCs/>
        </w:rPr>
        <w:t>Neutralność węglowa</w:t>
      </w:r>
      <w:r w:rsidRPr="007E22C1">
        <w:t>: Zobowiązanie do osiągnięcia neutralności węglowej w ramach konferencji COP21 w Paryżu.</w:t>
      </w:r>
    </w:p>
    <w:p w14:paraId="125D4FD5" w14:textId="77777777" w:rsidR="007E22C1" w:rsidRPr="007E22C1" w:rsidRDefault="007E22C1" w:rsidP="007E22C1">
      <w:pPr>
        <w:numPr>
          <w:ilvl w:val="0"/>
          <w:numId w:val="4"/>
        </w:numPr>
      </w:pPr>
      <w:r w:rsidRPr="007E22C1">
        <w:rPr>
          <w:b/>
          <w:bCs/>
        </w:rPr>
        <w:t>Fundacja Signify</w:t>
      </w:r>
      <w:r w:rsidRPr="007E22C1">
        <w:t>: Zapewnienie oświetlenia dla 10 milionów osób do 2025 roku.</w:t>
      </w:r>
    </w:p>
    <w:p w14:paraId="20CC6B55" w14:textId="77777777" w:rsidR="007E22C1" w:rsidRPr="007E22C1" w:rsidRDefault="007E22C1" w:rsidP="007E22C1">
      <w:pPr>
        <w:numPr>
          <w:ilvl w:val="0"/>
          <w:numId w:val="4"/>
        </w:numPr>
      </w:pPr>
      <w:r w:rsidRPr="007E22C1">
        <w:rPr>
          <w:b/>
          <w:bCs/>
        </w:rPr>
        <w:t>Program Jaśniejsze Życie, Lepszy Świat</w:t>
      </w:r>
      <w:r w:rsidRPr="007E22C1">
        <w:t>: Cele zrównoważonego rozwoju, które mają zostać osiągnięte do końca 2020 roku, w tym 100% odnawialnej energii elektrycznej i zero odpadów na wysypiskach.</w:t>
      </w:r>
    </w:p>
    <w:p w14:paraId="5D3E6442" w14:textId="77777777" w:rsidR="007E22C1" w:rsidRPr="007E22C1" w:rsidRDefault="007E22C1" w:rsidP="007E22C1">
      <w:pPr>
        <w:numPr>
          <w:ilvl w:val="0"/>
          <w:numId w:val="4"/>
        </w:numPr>
      </w:pPr>
      <w:r w:rsidRPr="007E22C1">
        <w:rPr>
          <w:b/>
          <w:bCs/>
        </w:rPr>
        <w:t>Redukcja emisji gazów cieplarnianych</w:t>
      </w:r>
      <w:r w:rsidRPr="007E22C1">
        <w:t>: Osiągnięcie ponad 77% redukcji emisji GHG w działalności operacyjnej.</w:t>
      </w:r>
    </w:p>
    <w:p w14:paraId="3D9923A6" w14:textId="77777777" w:rsidR="007E22C1" w:rsidRPr="007E22C1" w:rsidRDefault="007E22C1" w:rsidP="007E22C1">
      <w:r w:rsidRPr="007E22C1">
        <w:t>Nieustannie dążymy do realizacji ambitnych celów zrównoważonego rozwoju, przyczyniając się do globalnej transformacji energetycznej i ochrony środowiska.</w:t>
      </w:r>
    </w:p>
    <w:p w14:paraId="01F9B36B" w14:textId="77777777" w:rsidR="007E22C1" w:rsidRDefault="007E22C1"/>
    <w:sectPr w:rsidR="007E22C1">
      <w:headerReference w:type="even" r:id="rId13"/>
      <w:head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DFD9" w14:textId="77777777" w:rsidR="007E22C1" w:rsidRDefault="007E22C1" w:rsidP="007E22C1">
      <w:pPr>
        <w:spacing w:after="0" w:line="240" w:lineRule="auto"/>
      </w:pPr>
      <w:r>
        <w:separator/>
      </w:r>
    </w:p>
  </w:endnote>
  <w:endnote w:type="continuationSeparator" w:id="0">
    <w:p w14:paraId="4521EC88" w14:textId="77777777" w:rsidR="007E22C1" w:rsidRDefault="007E22C1" w:rsidP="007E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BC00" w14:textId="77777777" w:rsidR="007E22C1" w:rsidRDefault="007E22C1" w:rsidP="007E22C1">
      <w:pPr>
        <w:spacing w:after="0" w:line="240" w:lineRule="auto"/>
      </w:pPr>
      <w:r>
        <w:separator/>
      </w:r>
    </w:p>
  </w:footnote>
  <w:footnote w:type="continuationSeparator" w:id="0">
    <w:p w14:paraId="79C4DEEA" w14:textId="77777777" w:rsidR="007E22C1" w:rsidRDefault="007E22C1" w:rsidP="007E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BA0F" w14:textId="213FBB89" w:rsidR="007E22C1" w:rsidRDefault="007E22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FE4D" w14:textId="6DCE5FD7" w:rsidR="007E22C1" w:rsidRDefault="007E22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89C23" w14:textId="401E8483" w:rsidR="007E22C1" w:rsidRDefault="007E22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32488"/>
    <w:multiLevelType w:val="multilevel"/>
    <w:tmpl w:val="7C5E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2771B2"/>
    <w:multiLevelType w:val="multilevel"/>
    <w:tmpl w:val="203A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2721C0"/>
    <w:multiLevelType w:val="multilevel"/>
    <w:tmpl w:val="1A1C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5112EB"/>
    <w:multiLevelType w:val="multilevel"/>
    <w:tmpl w:val="0C26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0402515">
    <w:abstractNumId w:val="3"/>
  </w:num>
  <w:num w:numId="2" w16cid:durableId="1083137330">
    <w:abstractNumId w:val="2"/>
  </w:num>
  <w:num w:numId="3" w16cid:durableId="1104571449">
    <w:abstractNumId w:val="1"/>
  </w:num>
  <w:num w:numId="4" w16cid:durableId="1815828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C1"/>
    <w:rsid w:val="007E22C1"/>
    <w:rsid w:val="00A7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AAA5"/>
  <w15:chartTrackingRefBased/>
  <w15:docId w15:val="{06B3FCC6-827F-476B-8D4F-0654F37D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2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2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2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2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22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22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22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22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2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2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2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2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22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22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22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22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22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22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2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22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2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22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22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22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22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2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22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22C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E22C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22C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E22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4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0921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91593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321933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2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58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980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5593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1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73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36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53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8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582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440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299767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045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5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8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93571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638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1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5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83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5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54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nerportal.pl/wp-content/uploads/2025/05/Signify-25168-Sustainability-Journey-Infographic-Translations-PL-v3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gnify.com/greenswitchkalkulato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partnerportal.pl/wp-content/uploads/2025/05/Signify-25169-What-is-the-Green-Switch-Infographic-Translations-PL-v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tnerportal.pl/wp-content/uploads/2025/05/Signify-25168-Sustainability-Journey-Infographic-Translations-PL-v3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631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1</cp:revision>
  <dcterms:created xsi:type="dcterms:W3CDTF">2025-06-10T08:39:00Z</dcterms:created>
  <dcterms:modified xsi:type="dcterms:W3CDTF">2025-06-10T08:41:00Z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b027a58-0b8b-4b38-933d-36c79ab5a9a6_Enabled">
    <vt:lpwstr>true</vt:lpwstr>
  </property>
  <property fmtid="{D5CDD505-2E9C-101B-9397-08002B2CF9AE}" pid="3" name="MSIP_Label_cb027a58-0b8b-4b38-933d-36c79ab5a9a6_SetDate">
    <vt:lpwstr>2025-06-10T08:41:07Z</vt:lpwstr>
  </property>
  <property fmtid="{D5CDD505-2E9C-101B-9397-08002B2CF9AE}" pid="4" name="MSIP_Label_cb027a58-0b8b-4b38-933d-36c79ab5a9a6_Method">
    <vt:lpwstr>Privileged</vt:lpwstr>
  </property>
  <property fmtid="{D5CDD505-2E9C-101B-9397-08002B2CF9AE}" pid="5" name="MSIP_Label_cb027a58-0b8b-4b38-933d-36c79ab5a9a6_Name">
    <vt:lpwstr>cb027a58-0b8b-4b38-933d-36c79ab5a9a6</vt:lpwstr>
  </property>
  <property fmtid="{D5CDD505-2E9C-101B-9397-08002B2CF9AE}" pid="6" name="MSIP_Label_cb027a58-0b8b-4b38-933d-36c79ab5a9a6_SiteId">
    <vt:lpwstr>75b2f54b-feff-400d-8e0b-67102edb9a23</vt:lpwstr>
  </property>
  <property fmtid="{D5CDD505-2E9C-101B-9397-08002B2CF9AE}" pid="7" name="MSIP_Label_cb027a58-0b8b-4b38-933d-36c79ab5a9a6_ActionId">
    <vt:lpwstr>1d19f1f5-6956-49ac-abc9-10169ef3c448</vt:lpwstr>
  </property>
  <property fmtid="{D5CDD505-2E9C-101B-9397-08002B2CF9AE}" pid="8" name="MSIP_Label_cb027a58-0b8b-4b38-933d-36c79ab5a9a6_ContentBits">
    <vt:lpwstr>0</vt:lpwstr>
  </property>
  <property fmtid="{D5CDD505-2E9C-101B-9397-08002B2CF9AE}" pid="9" name="MSIP_Label_cb027a58-0b8b-4b38-933d-36c79ab5a9a6_Tag">
    <vt:lpwstr>10, 0, 1, 1</vt:lpwstr>
  </property>
</Properties>
</file>